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57B64">
      <w:pPr>
        <w:pStyle w:val="2"/>
        <w:bidi w:val="0"/>
        <w:jc w:val="center"/>
        <w:rPr>
          <w:rFonts w:hint="eastAsia"/>
          <w:lang w:val="en-US" w:eastAsia="zh-CN"/>
        </w:rPr>
      </w:pPr>
      <w:bookmarkStart w:id="0" w:name="_GoBack"/>
      <w:r>
        <w:rPr>
          <w:rFonts w:hint="eastAsia"/>
        </w:rPr>
        <w:t>数字建模与智能决策赛道</w:t>
      </w:r>
    </w:p>
    <w:bookmarkEnd w:id="0"/>
    <w:p w14:paraId="681951A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left"/>
        <w:rPr>
          <w:rFonts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333333"/>
          <w:spacing w:val="0"/>
          <w:sz w:val="24"/>
          <w:szCs w:val="24"/>
          <w:bdr w:val="none" w:color="auto" w:sz="0" w:space="0"/>
          <w:shd w:val="clear" w:fill="FFFFFF"/>
        </w:rPr>
        <w:t>一、竞赛背景及目的</w:t>
      </w:r>
    </w:p>
    <w:p w14:paraId="6822320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数字建模是指研究大自然科学演化、工业应用过程中各种数字模型研究以及产生模型的数字化算法研究，这些数字模型可以仿真演化原理或工业应用的关键技术等。如适于计算处理的数学模型、仿真物理模型以及基于大数据的神经网络模型等。研究方法主要包括（不限于）从微分方程、统计回归、数学规划、图论、系统科学、深度学习、机器学习、神经网络等数学方法以及大数据与人工智能的新理论与新方法等。数字建模将有力推进关键科学问题突破，数字建模是进行仿真的基础。加快工业创新应用，促进更多高新技术企业在利用仿真技术研发相关的产品应用。</w:t>
      </w:r>
    </w:p>
    <w:p w14:paraId="3733E67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智能决策是随着生产服务、制造等企业关键信息的数字化和数据化，产生了利用数据支持决策，从而产生更高价值，节约成本；因此智能决策可以看作是制造业智能化的“大脑”，可以撬动企业新增长的根本原因。智能决策需要综合利用多种智能技术和工具，基于既定目标，对相关数据进行建模、算法设计、计算、分析并开展优化决策的过程；其所依赖的核心技术主要包括机器学习技术、统计归纳、运筹优化、智能算法、神经网络、深度学习、智能学习、强化学习等技术。智能决策可以在决策机制上降低对人的依赖，提高决策的效率，从而提高单位的收益增长速度和发展空间。智能决策需要基于仿真模型进行，而仿真模型又可以用于支持智能决策的制定和优化。</w:t>
      </w:r>
    </w:p>
    <w:p w14:paraId="5841B4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p>
    <w:p w14:paraId="19BC256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left"/>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4B4B4B"/>
          <w:spacing w:val="0"/>
          <w:sz w:val="24"/>
          <w:szCs w:val="24"/>
          <w:bdr w:val="none" w:color="auto" w:sz="0" w:space="0"/>
          <w:shd w:val="clear" w:fill="FFFFFF"/>
        </w:rPr>
        <w:t>二、竞赛内容</w:t>
      </w:r>
    </w:p>
    <w:p w14:paraId="69835F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本赛道的竞赛内容主要是指利用实际生产生活中的数字化信息，开展面向科学原理、工业应用的关键技术的数字建模或生产服务、制造等企业智能决策。例如</w:t>
      </w:r>
      <w:r>
        <w:rPr>
          <w:rFonts w:hint="eastAsia" w:ascii="宋体" w:hAnsi="宋体" w:eastAsia="宋体" w:cs="宋体"/>
          <w:i w:val="0"/>
          <w:iCs w:val="0"/>
          <w:caps w:val="0"/>
          <w:color w:val="192338"/>
          <w:spacing w:val="0"/>
          <w:sz w:val="24"/>
          <w:szCs w:val="24"/>
          <w:bdr w:val="none" w:color="auto" w:sz="0" w:space="0"/>
          <w:shd w:val="clear" w:fill="FFFFFF"/>
        </w:rPr>
        <w:t>空经济面临的空域管理复杂、飞行器协同控制难、数据安全风险高等挑战，可通过数字建模与智能决策技术实现空域资源优化、飞行路径规划、风险预警等创新突破。</w:t>
      </w:r>
    </w:p>
    <w:p w14:paraId="67206F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本赛道包含但不限于以下方向：人工智能与数字建模、云计算与算法创新、智能决策、智能社会治理等方向。</w:t>
      </w:r>
    </w:p>
    <w:p w14:paraId="1C1F31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人工智能与数字建模方向：利用实际生产生活的大数据，使用机器学习技术、神经网络、深度学习、智能学习、强化学习等人工智能技术开展数字建模，解决生产生活中的科学与技术问题。</w:t>
      </w:r>
    </w:p>
    <w:p w14:paraId="6AFE677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云计算与算法创新方向：利用云计算、并行计算、近似计算、精确计算等算法，提升算力并就生产生活中实际问题开展数字建模，解决生产生活中的科学与技术问题。</w:t>
      </w:r>
    </w:p>
    <w:p w14:paraId="45E1937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智能决策方向：针对生产服务、制造等企业的实际问题，利用大数据或数字化信息，综合利用多种智能技术和工具，开展智能化决策的研究。</w:t>
      </w:r>
    </w:p>
    <w:p w14:paraId="3AD1169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智能社会治理方向：鼓励参赛者运用人工智能、大数据、物联网、区块链等新兴技术，开发智能解决方案，提高社会治理的现代化水平。此次智能社会治理仿真创新竞赛的主题为：“数智赋能社会治理”，参赛作品内容可以从以下四个选题中选择，但不限于以下方案：（1）智能治理数据集建设、（2）智能社会治理模型、（3）智能社会治理智能体、（4）智能社会治理应用场景开发、（5）智能风险监测预警系统、（6）绿色经济智能决策系统、（7）智能政策模拟与评估系统等</w:t>
      </w:r>
    </w:p>
    <w:p w14:paraId="094F59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根据参赛对象不同，分研究生组、本科生组和职教组。参赛学生分组别进行比赛及评审，若单组别作品较少，将合并到相邻组别进行共同评审。</w:t>
      </w:r>
    </w:p>
    <w:p w14:paraId="11F893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p>
    <w:p w14:paraId="1FC2A15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both"/>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4B4B4B"/>
          <w:spacing w:val="0"/>
          <w:sz w:val="24"/>
          <w:szCs w:val="24"/>
          <w:bdr w:val="none" w:color="auto" w:sz="0" w:space="0"/>
          <w:shd w:val="clear" w:fill="FFFFFF"/>
        </w:rPr>
        <w:t>三、提交作品要求</w:t>
      </w:r>
    </w:p>
    <w:p w14:paraId="46285DD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1.提交材料说明</w:t>
      </w:r>
    </w:p>
    <w:p w14:paraId="5C46AB0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（1）整个提交材料需要包括：1个PDF文件（包括封皮、作品信息表、承诺书、作品内容）；1个附件支撑材料；答辩PPT（PDF格式，≤100MB）；演示视频（MP4，3-5分钟，≤200MB）。</w:t>
      </w:r>
    </w:p>
    <w:p w14:paraId="4065F20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（2）PDF文件用“小四”号仿宋体填写，命名格式为：“作品名称+联系人姓名”。其中作品内容包括：问题来源和数据来源说明；数字模型或系统；结果演示分析或说明；应用说明；代码和参考文献等。</w:t>
      </w:r>
    </w:p>
    <w:p w14:paraId="00154E5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（3）附件支撑材料，证明作品的应用性或创新性材料，可以是常见的格式的辅助材料。</w:t>
      </w:r>
    </w:p>
    <w:p w14:paraId="73B52A1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以上报名材料和报名信息表（见附件）请放置在一个参赛文件夹中，以“参赛单位+作品名称+联系人姓名”形式命名。</w:t>
      </w:r>
      <w:r>
        <w:rPr>
          <w:rStyle w:val="6"/>
          <w:rFonts w:hint="eastAsia" w:ascii="微软雅黑" w:hAnsi="微软雅黑" w:eastAsia="微软雅黑" w:cs="微软雅黑"/>
          <w:i w:val="0"/>
          <w:iCs w:val="0"/>
          <w:caps w:val="0"/>
          <w:color w:val="333333"/>
          <w:spacing w:val="0"/>
          <w:sz w:val="24"/>
          <w:szCs w:val="24"/>
          <w:bdr w:val="none" w:color="auto" w:sz="0" w:space="0"/>
          <w:shd w:val="clear" w:fill="FFFFFF"/>
        </w:rPr>
        <w:t>此参赛文件夹务必以2种方式上传报名系统：</w:t>
      </w:r>
    </w:p>
    <w:p w14:paraId="6942C3A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方式一：以百度网盘生成分享链接提交。方法：将此文件夹上传到自己的百度网盘中，将此文件夹生成分享链接（请设置永久有效），再将此链接上传至报名系统中的指定位置。</w:t>
      </w:r>
    </w:p>
    <w:p w14:paraId="6C8F0F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方式二：为方便评审，在以百度网盘形式提交作品后，请将作品文件夹使用winrar或zip压缩，大小在400M内的可直接上传报名系统指定位置。</w:t>
      </w:r>
    </w:p>
    <w:p w14:paraId="3097E78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p>
    <w:p w14:paraId="6C0CAB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left"/>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4B4B4B"/>
          <w:spacing w:val="0"/>
          <w:sz w:val="24"/>
          <w:szCs w:val="24"/>
          <w:bdr w:val="none" w:color="auto" w:sz="0" w:space="0"/>
          <w:shd w:val="clear" w:fill="FFFFFF"/>
        </w:rPr>
        <w:t>四、时间安排</w:t>
      </w:r>
    </w:p>
    <w:p w14:paraId="1B301E5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1.报名时间：2026年10月1日-10月22日</w:t>
      </w:r>
    </w:p>
    <w:p w14:paraId="749DFBB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2.初赛时间：2026年10月</w:t>
      </w:r>
    </w:p>
    <w:p w14:paraId="7E645F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3.省赛区决赛时间：2026年10月</w:t>
      </w:r>
    </w:p>
    <w:p w14:paraId="259424A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4.全国总决赛时间：2026年11月</w:t>
      </w:r>
    </w:p>
    <w:p w14:paraId="3E03486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具体时间、地点将另行通知，请及时关注大赛官网（http://www.siac.net.cn）和微信公众号（仿真创新应用大赛）。</w:t>
      </w:r>
    </w:p>
    <w:p w14:paraId="0023E9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p>
    <w:p w14:paraId="3C5CEE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333333"/>
          <w:spacing w:val="0"/>
          <w:sz w:val="24"/>
          <w:szCs w:val="24"/>
          <w:bdr w:val="none" w:color="auto" w:sz="0" w:space="0"/>
          <w:shd w:val="clear" w:fill="FFFFFF"/>
        </w:rPr>
        <w:t>五、参赛对象及要求</w:t>
      </w:r>
    </w:p>
    <w:p w14:paraId="0035342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1.参赛对象为：全国高等院校的在读研究生、本科生及职业院校的在校学生；相关企事业单位的工作人员等。</w:t>
      </w:r>
    </w:p>
    <w:p w14:paraId="40F2DAE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学生可以个人（1人）或团队（2～5人组队）形式参赛。研究生组、本科组和职教组：在校学生个人或团队参赛，须有1～2名在校教师担任指导教师。参赛作品按照学历最高的参赛学生划分组别，例如参赛团队中有研究生参加就划分为研究生组。</w:t>
      </w:r>
    </w:p>
    <w:p w14:paraId="2A2ADEC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企业参赛人员单独设立“企业组”，可以个人或团队（2～5人）形式参赛，企业组不硬性要求指导教师。企业人员也可作为成员加入学生团队，若团队中包含在校学生，则按学历最高的学生划分组别（研究生组、本科组或职教组）；若团队全部由企业人员组成，则划归企业组。</w:t>
      </w:r>
    </w:p>
    <w:p w14:paraId="567B25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3.报名建议由参赛单位负责人统一填写报名信息；独立报名个人或团队由个人或团队联络人登录大赛官网注册报名，填写参赛信息。</w:t>
      </w:r>
    </w:p>
    <w:p w14:paraId="0867EF1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4.参赛人员需要签订承诺书，确保作品符合国家方针、路线、政策，符合国家法律法规；不得抄袭别人的成果；如果引用别人的成果或资料（包括网上资料），必须以参考文献的表述方式列出，并在文档中引用处予以标注；不得出现学术不端等行为。</w:t>
      </w:r>
    </w:p>
    <w:p w14:paraId="409B27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p>
    <w:p w14:paraId="410874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65"/>
        <w:jc w:val="left"/>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333333"/>
          <w:spacing w:val="0"/>
          <w:sz w:val="24"/>
          <w:szCs w:val="24"/>
          <w:bdr w:val="none" w:color="auto" w:sz="0" w:space="0"/>
          <w:shd w:val="clear" w:fill="FFFFFF"/>
        </w:rPr>
        <w:t>六、报名及缴费</w:t>
      </w:r>
    </w:p>
    <w:p w14:paraId="615DDCB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竞赛采取注册参赛的形式，报名要求如下：</w:t>
      </w:r>
    </w:p>
    <w:p w14:paraId="5BF5512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1.10月1日后参赛单位和个人可登录大赛官网填写参赛报名信息。</w:t>
      </w:r>
    </w:p>
    <w:p w14:paraId="66A1EA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2.本届大赛不收取参赛费。</w:t>
      </w:r>
    </w:p>
    <w:p w14:paraId="3181658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3.大赛的详细内容及进展情况，将在大赛官网和微信公众号上进行更新，请各参赛者及时关注。为做好参赛组织工作，建议各参赛单位选派1名工作人员负责与大赛组委会的日常联络。</w:t>
      </w:r>
    </w:p>
    <w:p w14:paraId="6EE4D8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p>
    <w:p w14:paraId="6D0DECF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333333"/>
          <w:spacing w:val="0"/>
          <w:sz w:val="24"/>
          <w:szCs w:val="24"/>
          <w:bdr w:val="none" w:color="auto" w:sz="0" w:space="0"/>
          <w:shd w:val="clear" w:fill="FFFFFF"/>
        </w:rPr>
        <w:t>七、赛制说明</w:t>
      </w:r>
    </w:p>
    <w:p w14:paraId="20BC267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竞赛为初赛、省赛区决赛和全国总决赛三级赛制。</w:t>
      </w:r>
    </w:p>
    <w:p w14:paraId="41F952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1.初赛</w:t>
      </w:r>
    </w:p>
    <w:p w14:paraId="1BD75D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对参赛人员进行资格审核，对作品思想内容等进行审查。如有违规，一经查实，取消参赛资格。</w:t>
      </w:r>
    </w:p>
    <w:p w14:paraId="4294D8E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2.省赛区决赛</w:t>
      </w:r>
    </w:p>
    <w:p w14:paraId="1E2E97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对通过初赛的作品按照标准进行评审，具体形式（线上、线下）由各省赛区办公室确定。</w:t>
      </w:r>
    </w:p>
    <w:p w14:paraId="6779DE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（1）所有作品以截止日期前收到的文件作为初赛和省赛区决赛评审依据。组委会对逾期提交文件的按照弃赛处理。</w:t>
      </w:r>
    </w:p>
    <w:p w14:paraId="5E38EA4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（2）评审按照分数高低确定排名。</w:t>
      </w:r>
    </w:p>
    <w:p w14:paraId="4B5827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3.全国总决赛</w:t>
      </w:r>
    </w:p>
    <w:p w14:paraId="0144A98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通过省赛区遴选出的优秀作品，组委会将通知参赛者参加全国总决赛。全国总决赛由组委会统一组织，采用汇报演示、作品展示和专家提问等方式进行，考察参赛者的作品操作能力、现场表达能力以及表演展示能力（演示形式不限）等。缺席全国总决赛的参赛者将被视为自动弃权。</w:t>
      </w:r>
    </w:p>
    <w:p w14:paraId="5A4C48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（1）全国总决赛作品可以在提交的省赛区决赛作品的基础上进行完善。截止时间进入全国总决赛后通知。</w:t>
      </w:r>
    </w:p>
    <w:p w14:paraId="35284B6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（2）比赛顺序根据不同组别的比赛特点，按所在学校名称的首字母顺序进行或抽签顺序进行。</w:t>
      </w:r>
    </w:p>
    <w:p w14:paraId="020BCE6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（3）陈述形式说明</w:t>
      </w:r>
    </w:p>
    <w:p w14:paraId="7B8E45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鼓励参赛者围绕参赛作品主题及内容选择恰当的演示形式；作品陈述不设人数限制，凡报名参赛者均可参加；陈述过程可辅以视频、PPT等配合说明；每组选手有5分钟时间进行作品演示和说明，最后专家提问。</w:t>
      </w:r>
    </w:p>
    <w:p w14:paraId="07BE025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参赛作品不限制作软件和制作工具，不限风格形式。作品评审主要从以下几方面进行：创新性、技术性、合理性等。</w:t>
      </w:r>
    </w:p>
    <w:p w14:paraId="1E6693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p>
    <w:p w14:paraId="1EC27F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35"/>
        <w:jc w:val="left"/>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333333"/>
          <w:spacing w:val="0"/>
          <w:sz w:val="24"/>
          <w:szCs w:val="24"/>
          <w:bdr w:val="none" w:color="auto" w:sz="0" w:space="0"/>
          <w:shd w:val="clear" w:fill="FFFFFF"/>
        </w:rPr>
        <w:t>八、奖项及推荐说明</w:t>
      </w:r>
    </w:p>
    <w:p w14:paraId="5DE8D95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1.奖项说明</w:t>
      </w:r>
    </w:p>
    <w:p w14:paraId="6B986E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初赛由大赛组委会和省赛区办公室联合进行，通过初赛进入省赛区决赛的名单将会在全国仿真创新应用大赛官网公示。省赛区遴选出的优秀作品参加全国总决赛。</w:t>
      </w:r>
    </w:p>
    <w:p w14:paraId="177DBA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省赛区决赛的奖项按照全国总决赛的相关规定设置有一二三等奖、优秀指导教师等奖项，由中国仿真学会颁发证书；全国总决赛设置一二三等奖，由中国仿真学会颁发证书。</w:t>
      </w:r>
    </w:p>
    <w:p w14:paraId="0DFC89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同一竞赛方向省内有6组及以上作品开展省级评审，不足评审基数要求的不开展省级评审，由本竞赛方向全国分委会统一评审，按照该作品应有的质量确定是否进入国赛。全国总决赛获奖比例为一等奖比例不超过总决赛团队数量的15%；二等奖比例不超过总决赛团队数量的25%；三等奖比例不超过总决赛团队数量的40%。</w:t>
      </w:r>
    </w:p>
    <w:p w14:paraId="4B3ABC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2.参赛说明</w:t>
      </w:r>
    </w:p>
    <w:p w14:paraId="5B4918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（1）参赛人员可通过专家推荐集体报名或自主报名参赛。专家推荐参赛，建议各省拟邀请4-6所院校参赛，推荐24组参赛作品。</w:t>
      </w:r>
    </w:p>
    <w:p w14:paraId="35B62C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（2）同一团队同一赛道最多报2组参赛作品。如有特殊情况，请联系大赛组委会。</w:t>
      </w:r>
    </w:p>
    <w:p w14:paraId="5160942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p>
    <w:p w14:paraId="670DB0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333333"/>
          <w:spacing w:val="0"/>
          <w:sz w:val="24"/>
          <w:szCs w:val="24"/>
          <w:bdr w:val="none" w:color="auto" w:sz="0" w:space="0"/>
          <w:shd w:val="clear" w:fill="FFFFFF"/>
        </w:rPr>
        <w:t>九、其他说明</w:t>
      </w:r>
    </w:p>
    <w:p w14:paraId="0E7708B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1.组委会将针对参赛内容等事项安排相关培训，请密切关注大赛官网（http://www.siac.net.cn/）和公众号。</w:t>
      </w:r>
    </w:p>
    <w:p w14:paraId="53258D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2.如因不可抗力等因素导致决赛无法正常举行，组委会将酌情变更举办地或比赛方式，希望各参赛单位和广大参赛者能够理解并支持。</w:t>
      </w:r>
    </w:p>
    <w:p w14:paraId="59370B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3.参赛者不同意或不符合下列要求说明之一的，将视为自动放弃比赛：</w:t>
      </w:r>
    </w:p>
    <w:p w14:paraId="657E172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（1）参赛作品需符合国家法律法规。</w:t>
      </w:r>
    </w:p>
    <w:p w14:paraId="38FD3E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（2）参赛项目或作品必须为原创，版权所属明确，若有涉及版权侵权等法律纠纷，由参赛者自行承担由此引发的所有后果及法律责任。</w:t>
      </w:r>
    </w:p>
    <w:p w14:paraId="1BCB4D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（3）凡参加过往届本赛事的作品及在其他相关或相似赛事中获奖的作品原则上须更新30%及以上的内容可参加本届赛事。</w:t>
      </w:r>
    </w:p>
    <w:p w14:paraId="1AB8C6D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4）投稿作品后如作品入围，大赛组委会与官方授权合作组织机构有权无偿在公共媒体上对作品作非营利性展示、展播、结集出版，或用于公益宣传与传播教育等非商业性活动。（参赛者特别申明不得使用除外。）</w:t>
      </w:r>
    </w:p>
    <w:p w14:paraId="53783BA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（5）参赛期间，参赛者不得将参赛作品所有权转让给任何第三方。任何个人或组织在未取得全国组委会授权下，不得将本次大赛作品用于任何商业用途，但可用于非商业的公益传播，以扩大作品的社会影响力。</w:t>
      </w:r>
    </w:p>
    <w:p w14:paraId="4714855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（6）本次比赛期间以外，参赛作品产生的一切后果与责任由参赛者本人承担。</w:t>
      </w:r>
    </w:p>
    <w:p w14:paraId="762F5FA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（7）凡提交作品参赛，即被视为接受大赛各项条款，大赛组委会保留对本次大赛的最终解释权和改评、追回奖项等权利。</w:t>
      </w:r>
    </w:p>
    <w:p w14:paraId="3B12E36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00215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6"/>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link w:val="1"/>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2026-09-20T07:15:50Z</dcterms:created>
  <dc:creator>dell</dc:creator>
  <cp:lastModifiedBy>流星球</cp:lastModifiedBy>
  <dcterms:modified xsi:type="dcterms:W3CDTF">2026-09-20T07:16:33Z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eyJoZGlkIjoiNTk0NjgxN2U1YmI0ZWIxZWU4ZDQyMmZhOWY2MzYxNDQiLCJ1c2VySWQiOiI5OTI4MDg3MDUifQ==</vt:lpwstr>
  </property>
  <property fmtid="{D5CDD505-2E9C-101B-9397-08002B2CF9AE}" pid="4" name="ICV">
    <vt:lpwstr>95467B4C1623450398645DA283E981A0_12</vt:lpwstr>
  </property>
</Properties>
</file>